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7E" w:rsidRPr="000A401A" w:rsidRDefault="004870A3" w:rsidP="00BD4696">
      <w:pPr>
        <w:jc w:val="center"/>
        <w:rPr>
          <w:rFonts w:asciiTheme="minorHAnsi" w:hAnsiTheme="minorHAnsi"/>
          <w:b/>
          <w:sz w:val="20"/>
          <w:szCs w:val="20"/>
        </w:rPr>
      </w:pPr>
      <w:r w:rsidRPr="000A401A">
        <w:rPr>
          <w:rFonts w:asciiTheme="minorHAnsi" w:hAnsiTheme="minorHAnsi"/>
          <w:b/>
          <w:sz w:val="20"/>
          <w:szCs w:val="20"/>
        </w:rPr>
        <w:t xml:space="preserve">Quarterly </w:t>
      </w:r>
      <w:r w:rsidR="00BD4696" w:rsidRPr="000A401A">
        <w:rPr>
          <w:rFonts w:asciiTheme="minorHAnsi" w:hAnsiTheme="minorHAnsi"/>
          <w:b/>
          <w:sz w:val="20"/>
          <w:szCs w:val="20"/>
        </w:rPr>
        <w:t xml:space="preserve">Complaints </w:t>
      </w:r>
      <w:r w:rsidRPr="000A401A">
        <w:rPr>
          <w:rFonts w:asciiTheme="minorHAnsi" w:hAnsiTheme="minorHAnsi"/>
          <w:b/>
          <w:sz w:val="20"/>
          <w:szCs w:val="20"/>
        </w:rPr>
        <w:t xml:space="preserve">Report: </w:t>
      </w:r>
    </w:p>
    <w:p w:rsidR="00BD4696" w:rsidRPr="000A401A" w:rsidRDefault="009D5455" w:rsidP="00BD4696">
      <w:pPr>
        <w:jc w:val="center"/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 xml:space="preserve">October </w:t>
      </w:r>
      <w:r w:rsidR="00BD4696" w:rsidRPr="000A401A">
        <w:rPr>
          <w:rFonts w:asciiTheme="minorHAnsi" w:hAnsiTheme="minorHAnsi"/>
          <w:sz w:val="20"/>
          <w:szCs w:val="20"/>
        </w:rPr>
        <w:t xml:space="preserve">to </w:t>
      </w:r>
      <w:r w:rsidRPr="000A401A">
        <w:rPr>
          <w:rFonts w:asciiTheme="minorHAnsi" w:hAnsiTheme="minorHAnsi"/>
          <w:sz w:val="20"/>
          <w:szCs w:val="20"/>
        </w:rPr>
        <w:t>December</w:t>
      </w:r>
      <w:r w:rsidR="00BD4696" w:rsidRPr="000A401A">
        <w:rPr>
          <w:rFonts w:asciiTheme="minorHAnsi" w:hAnsiTheme="minorHAnsi"/>
          <w:sz w:val="20"/>
          <w:szCs w:val="20"/>
        </w:rPr>
        <w:t xml:space="preserve"> 2019</w:t>
      </w:r>
    </w:p>
    <w:p w:rsidR="00BD4696" w:rsidRDefault="00BD4696" w:rsidP="00BD4696">
      <w:pPr>
        <w:jc w:val="center"/>
        <w:rPr>
          <w:rFonts w:asciiTheme="minorHAnsi" w:hAnsiTheme="minorHAnsi"/>
          <w:sz w:val="22"/>
          <w:szCs w:val="22"/>
        </w:rPr>
      </w:pPr>
    </w:p>
    <w:p w:rsidR="004870A3" w:rsidRPr="000A401A" w:rsidRDefault="004870A3" w:rsidP="004870A3">
      <w:pPr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 xml:space="preserve">This report sets out our complaint’s performance from October to December 2019, which has seen the number of </w:t>
      </w:r>
      <w:r w:rsidR="002C5943" w:rsidRPr="000A401A">
        <w:rPr>
          <w:rFonts w:asciiTheme="minorHAnsi" w:hAnsiTheme="minorHAnsi"/>
          <w:sz w:val="20"/>
          <w:szCs w:val="20"/>
        </w:rPr>
        <w:t>complaints</w:t>
      </w:r>
      <w:r w:rsidR="002C5943">
        <w:rPr>
          <w:rFonts w:asciiTheme="minorHAnsi" w:hAnsiTheme="minorHAnsi"/>
          <w:sz w:val="20"/>
          <w:szCs w:val="20"/>
        </w:rPr>
        <w:t xml:space="preserve"> received (including EODs), increase by 10%</w:t>
      </w:r>
      <w:r w:rsidRPr="000A401A">
        <w:rPr>
          <w:rFonts w:asciiTheme="minorHAnsi" w:hAnsiTheme="minorHAnsi"/>
          <w:sz w:val="20"/>
          <w:szCs w:val="20"/>
        </w:rPr>
        <w:t xml:space="preserve">, since the last quarter. The report also provides an overview of </w:t>
      </w:r>
      <w:r w:rsidR="003B0339">
        <w:rPr>
          <w:rFonts w:asciiTheme="minorHAnsi" w:hAnsiTheme="minorHAnsi"/>
          <w:sz w:val="20"/>
          <w:szCs w:val="20"/>
        </w:rPr>
        <w:t xml:space="preserve">on </w:t>
      </w:r>
      <w:r w:rsidRPr="000A401A">
        <w:rPr>
          <w:rFonts w:asciiTheme="minorHAnsi" w:hAnsiTheme="minorHAnsi"/>
          <w:sz w:val="20"/>
          <w:szCs w:val="20"/>
        </w:rPr>
        <w:t>how they have been handled</w:t>
      </w:r>
      <w:r w:rsidR="003B0339">
        <w:rPr>
          <w:rFonts w:asciiTheme="minorHAnsi" w:hAnsiTheme="minorHAnsi"/>
          <w:sz w:val="20"/>
          <w:szCs w:val="20"/>
        </w:rPr>
        <w:t xml:space="preserve"> and compliments received. </w:t>
      </w:r>
      <w:r w:rsidRPr="000A401A">
        <w:rPr>
          <w:rFonts w:asciiTheme="minorHAnsi" w:hAnsiTheme="minorHAnsi"/>
          <w:sz w:val="20"/>
          <w:szCs w:val="20"/>
        </w:rPr>
        <w:t xml:space="preserve"> </w:t>
      </w:r>
    </w:p>
    <w:p w:rsidR="004870A3" w:rsidRPr="000A401A" w:rsidRDefault="004870A3" w:rsidP="004870A3">
      <w:pPr>
        <w:rPr>
          <w:rFonts w:asciiTheme="minorHAnsi" w:hAnsiTheme="minorHAnsi"/>
          <w:sz w:val="20"/>
          <w:szCs w:val="20"/>
        </w:rPr>
      </w:pPr>
    </w:p>
    <w:p w:rsidR="004870A3" w:rsidRPr="000A401A" w:rsidRDefault="004870A3" w:rsidP="004870A3">
      <w:pPr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>Rosebery provides a service for making complaints to:</w:t>
      </w:r>
      <w:r w:rsidR="000A401A" w:rsidRPr="000A401A">
        <w:rPr>
          <w:rFonts w:asciiTheme="minorHAnsi" w:hAnsiTheme="minorHAnsi"/>
          <w:sz w:val="20"/>
          <w:szCs w:val="20"/>
        </w:rPr>
        <w:br/>
      </w:r>
    </w:p>
    <w:p w:rsidR="004870A3" w:rsidRPr="000A401A" w:rsidRDefault="004870A3" w:rsidP="004870A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>give dissatisfied customers a mechanism for seeking redress</w:t>
      </w:r>
    </w:p>
    <w:p w:rsidR="004870A3" w:rsidRPr="000A401A" w:rsidRDefault="004870A3" w:rsidP="004870A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>collect feedback to enable Rosebery to review its performance and continuously improve services</w:t>
      </w:r>
    </w:p>
    <w:p w:rsidR="00005147" w:rsidRPr="000A401A" w:rsidRDefault="00005147" w:rsidP="00005147">
      <w:pPr>
        <w:rPr>
          <w:rFonts w:asciiTheme="minorHAnsi" w:hAnsiTheme="minorHAnsi"/>
          <w:sz w:val="20"/>
          <w:szCs w:val="20"/>
        </w:rPr>
      </w:pPr>
    </w:p>
    <w:p w:rsidR="000A401A" w:rsidRDefault="000A401A" w:rsidP="00005147">
      <w:pPr>
        <w:rPr>
          <w:rFonts w:asciiTheme="minorHAnsi" w:hAnsiTheme="minorHAnsi"/>
          <w:sz w:val="22"/>
          <w:szCs w:val="22"/>
        </w:rPr>
      </w:pPr>
      <w:r w:rsidRPr="000A401A">
        <w:rPr>
          <w:rFonts w:asciiTheme="minorHAnsi" w:hAnsiTheme="minorHAnsi"/>
          <w:sz w:val="20"/>
          <w:szCs w:val="20"/>
        </w:rPr>
        <w:t xml:space="preserve">Feedback from our customers is important to us and we encourage our staff to look out for any signs of dissatisfaction. Every time a customer contacts us with an expression of dissatisfaction, whether by phone, letter, email, or social media, our staff will record this. </w:t>
      </w:r>
      <w:r w:rsidR="003B0339">
        <w:rPr>
          <w:rFonts w:asciiTheme="minorHAnsi" w:hAnsiTheme="minorHAnsi"/>
          <w:sz w:val="20"/>
          <w:szCs w:val="20"/>
        </w:rPr>
        <w:t>We are committed to resolving any issue as quickly as possible and are always looking for ways to continually improve.</w:t>
      </w:r>
    </w:p>
    <w:p w:rsidR="000852DD" w:rsidRDefault="000852DD" w:rsidP="0000514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843"/>
      </w:tblGrid>
      <w:tr w:rsidR="00005147" w:rsidRPr="000A401A" w:rsidTr="000852DD">
        <w:tc>
          <w:tcPr>
            <w:tcW w:w="3114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401A">
              <w:rPr>
                <w:rFonts w:asciiTheme="minorHAnsi" w:hAnsiTheme="minorHAnsi"/>
                <w:b/>
                <w:sz w:val="20"/>
                <w:szCs w:val="20"/>
              </w:rPr>
              <w:t>Performance Indicator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0A401A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October</w:t>
            </w:r>
          </w:p>
        </w:tc>
        <w:tc>
          <w:tcPr>
            <w:tcW w:w="1701" w:type="dxa"/>
            <w:shd w:val="pct10" w:color="auto" w:fill="auto"/>
          </w:tcPr>
          <w:p w:rsidR="00005147" w:rsidRPr="000A401A" w:rsidRDefault="000A401A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1843" w:type="dxa"/>
            <w:shd w:val="pct10" w:color="auto" w:fill="auto"/>
          </w:tcPr>
          <w:p w:rsidR="00005147" w:rsidRPr="000A401A" w:rsidRDefault="000A401A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December</w:t>
            </w:r>
          </w:p>
        </w:tc>
      </w:tr>
      <w:tr w:rsidR="00005147" w:rsidRPr="000A401A" w:rsidTr="000852DD">
        <w:tc>
          <w:tcPr>
            <w:tcW w:w="3114" w:type="dxa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>e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xpressions of 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>dissatisfaction (E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>O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 xml:space="preserve">D) received 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5147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05147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05147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05147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% of EOD responded within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our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target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05147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five working days</w:t>
            </w:r>
          </w:p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147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147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5147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0852DD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Number of EOD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escalated to a formal complaint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2DD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005147" w:rsidRPr="000A401A" w:rsidTr="000852DD">
        <w:tc>
          <w:tcPr>
            <w:tcW w:w="3114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Number of formal complaints received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%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complaints acknowledged within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 our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target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two working days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%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complaints responded within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our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target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10 working days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Complaint is still under investigation and within target</w:t>
            </w:r>
          </w:p>
        </w:tc>
      </w:tr>
      <w:tr w:rsidR="000852DD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0852DD" w:rsidRPr="000A401A" w:rsidRDefault="000852DD" w:rsidP="002C5943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complaints </w:t>
            </w:r>
            <w:r w:rsidR="00526810" w:rsidRPr="000A401A">
              <w:rPr>
                <w:rFonts w:asciiTheme="minorHAnsi" w:hAnsiTheme="minorHAnsi"/>
                <w:sz w:val="20"/>
                <w:szCs w:val="20"/>
              </w:rPr>
              <w:t>escalated to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stage 2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>, of our complaint’s procedure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3B0339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852DD" w:rsidRPr="000A401A" w:rsidTr="000852DD">
        <w:tc>
          <w:tcPr>
            <w:tcW w:w="3114" w:type="dxa"/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2DD" w:rsidRPr="000A401A" w:rsidTr="000852DD">
        <w:tc>
          <w:tcPr>
            <w:tcW w:w="3114" w:type="dxa"/>
          </w:tcPr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Compliments </w:t>
            </w:r>
            <w:r w:rsidR="00441936" w:rsidRPr="000A401A">
              <w:rPr>
                <w:rFonts w:asciiTheme="minorHAnsi" w:hAnsiTheme="minorHAnsi"/>
                <w:sz w:val="20"/>
                <w:szCs w:val="20"/>
              </w:rPr>
              <w:t>received</w:t>
            </w:r>
          </w:p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2DD" w:rsidRPr="000A401A" w:rsidRDefault="003B0339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852DD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852DD" w:rsidRPr="000A401A" w:rsidRDefault="003B0339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BA20F1" w:rsidRDefault="00BA20F1" w:rsidP="002C5943">
      <w:pPr>
        <w:rPr>
          <w:rFonts w:asciiTheme="minorHAnsi" w:hAnsiTheme="minorHAnsi"/>
          <w:sz w:val="22"/>
          <w:szCs w:val="22"/>
        </w:rPr>
      </w:pPr>
    </w:p>
    <w:p w:rsidR="003B0339" w:rsidRPr="003B0339" w:rsidRDefault="003B0339" w:rsidP="002C5943">
      <w:pPr>
        <w:rPr>
          <w:rFonts w:asciiTheme="minorHAnsi" w:hAnsiTheme="minorHAnsi"/>
          <w:b/>
          <w:sz w:val="20"/>
          <w:szCs w:val="20"/>
        </w:rPr>
      </w:pPr>
      <w:r w:rsidRPr="003B0339">
        <w:rPr>
          <w:rFonts w:asciiTheme="minorHAnsi" w:hAnsiTheme="minorHAnsi"/>
          <w:b/>
          <w:sz w:val="20"/>
          <w:szCs w:val="20"/>
        </w:rPr>
        <w:t>Year to date we received</w:t>
      </w:r>
      <w:r w:rsidR="00DB1191">
        <w:rPr>
          <w:rFonts w:asciiTheme="minorHAnsi" w:hAnsiTheme="minorHAnsi"/>
          <w:b/>
          <w:sz w:val="20"/>
          <w:szCs w:val="20"/>
        </w:rPr>
        <w:t>:</w:t>
      </w:r>
    </w:p>
    <w:p w:rsidR="003B0339" w:rsidRPr="003B0339" w:rsidRDefault="003B0339" w:rsidP="003B033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B0339">
        <w:rPr>
          <w:rFonts w:asciiTheme="minorHAnsi" w:hAnsiTheme="minorHAnsi"/>
          <w:sz w:val="20"/>
          <w:szCs w:val="20"/>
        </w:rPr>
        <w:t>26</w:t>
      </w:r>
      <w:r>
        <w:rPr>
          <w:rFonts w:asciiTheme="minorHAnsi" w:hAnsiTheme="minorHAnsi"/>
          <w:sz w:val="20"/>
          <w:szCs w:val="20"/>
        </w:rPr>
        <w:t xml:space="preserve"> -</w:t>
      </w:r>
      <w:r w:rsidRPr="003B03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formal </w:t>
      </w:r>
      <w:r w:rsidRPr="003B0339">
        <w:rPr>
          <w:rFonts w:asciiTheme="minorHAnsi" w:hAnsiTheme="minorHAnsi"/>
          <w:sz w:val="20"/>
          <w:szCs w:val="20"/>
        </w:rPr>
        <w:t>complaints</w:t>
      </w:r>
    </w:p>
    <w:p w:rsidR="003B0339" w:rsidRPr="003B0339" w:rsidRDefault="003B0339" w:rsidP="003B033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B0339">
        <w:rPr>
          <w:rFonts w:asciiTheme="minorHAnsi" w:hAnsiTheme="minorHAnsi"/>
          <w:sz w:val="20"/>
          <w:szCs w:val="20"/>
        </w:rPr>
        <w:t>19</w:t>
      </w:r>
      <w:r>
        <w:rPr>
          <w:rFonts w:asciiTheme="minorHAnsi" w:hAnsiTheme="minorHAnsi"/>
          <w:sz w:val="20"/>
          <w:szCs w:val="20"/>
        </w:rPr>
        <w:t xml:space="preserve"> -</w:t>
      </w:r>
      <w:r w:rsidRPr="003B03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</w:t>
      </w:r>
      <w:r w:rsidRPr="003B0339">
        <w:rPr>
          <w:rFonts w:asciiTheme="minorHAnsi" w:hAnsiTheme="minorHAnsi"/>
          <w:sz w:val="20"/>
          <w:szCs w:val="20"/>
        </w:rPr>
        <w:t>xpression</w:t>
      </w:r>
      <w:r w:rsidR="008A4FB4">
        <w:rPr>
          <w:rFonts w:asciiTheme="minorHAnsi" w:hAnsiTheme="minorHAnsi"/>
          <w:sz w:val="20"/>
          <w:szCs w:val="20"/>
        </w:rPr>
        <w:t>s</w:t>
      </w:r>
      <w:bookmarkStart w:id="0" w:name="_GoBack"/>
      <w:bookmarkEnd w:id="0"/>
      <w:r w:rsidRPr="003B0339">
        <w:rPr>
          <w:rFonts w:asciiTheme="minorHAnsi" w:hAnsiTheme="minorHAnsi"/>
          <w:sz w:val="20"/>
          <w:szCs w:val="20"/>
        </w:rPr>
        <w:t xml:space="preserve"> of </w:t>
      </w:r>
      <w:r>
        <w:rPr>
          <w:rFonts w:asciiTheme="minorHAnsi" w:hAnsiTheme="minorHAnsi"/>
          <w:sz w:val="20"/>
          <w:szCs w:val="20"/>
        </w:rPr>
        <w:t>d</w:t>
      </w:r>
      <w:r w:rsidRPr="003B0339">
        <w:rPr>
          <w:rFonts w:asciiTheme="minorHAnsi" w:hAnsiTheme="minorHAnsi"/>
          <w:sz w:val="20"/>
          <w:szCs w:val="20"/>
        </w:rPr>
        <w:t xml:space="preserve">issatisfaction </w:t>
      </w:r>
    </w:p>
    <w:sectPr w:rsidR="003B0339" w:rsidRPr="003B03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331B"/>
    <w:multiLevelType w:val="hybridMultilevel"/>
    <w:tmpl w:val="B726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FF5"/>
    <w:multiLevelType w:val="hybridMultilevel"/>
    <w:tmpl w:val="72E43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96"/>
    <w:rsid w:val="00005147"/>
    <w:rsid w:val="000852DD"/>
    <w:rsid w:val="000A401A"/>
    <w:rsid w:val="000E3BFE"/>
    <w:rsid w:val="0028092D"/>
    <w:rsid w:val="002C5943"/>
    <w:rsid w:val="003A667E"/>
    <w:rsid w:val="003B0339"/>
    <w:rsid w:val="003D798E"/>
    <w:rsid w:val="003F58C6"/>
    <w:rsid w:val="00441936"/>
    <w:rsid w:val="004870A3"/>
    <w:rsid w:val="004B460D"/>
    <w:rsid w:val="00526810"/>
    <w:rsid w:val="006B318A"/>
    <w:rsid w:val="006D6086"/>
    <w:rsid w:val="007B09A3"/>
    <w:rsid w:val="008051FF"/>
    <w:rsid w:val="00813861"/>
    <w:rsid w:val="008775C7"/>
    <w:rsid w:val="008A4FB4"/>
    <w:rsid w:val="008E01F5"/>
    <w:rsid w:val="008E4D42"/>
    <w:rsid w:val="009A28E4"/>
    <w:rsid w:val="009A55D8"/>
    <w:rsid w:val="009D4DC6"/>
    <w:rsid w:val="009D5455"/>
    <w:rsid w:val="00A16971"/>
    <w:rsid w:val="00BA20F1"/>
    <w:rsid w:val="00BC3BC7"/>
    <w:rsid w:val="00BD4696"/>
    <w:rsid w:val="00BF108C"/>
    <w:rsid w:val="00C86371"/>
    <w:rsid w:val="00DB0FF0"/>
    <w:rsid w:val="00DB1191"/>
    <w:rsid w:val="00DB6146"/>
    <w:rsid w:val="00DE2998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7CB24"/>
  <w15:chartTrackingRefBased/>
  <w15:docId w15:val="{883AE0B8-A617-4ABD-80E1-7771AD0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47"/>
    <w:pPr>
      <w:ind w:left="720"/>
      <w:contextualSpacing/>
    </w:pPr>
  </w:style>
  <w:style w:type="table" w:styleId="TableGrid">
    <w:name w:val="Table Grid"/>
    <w:basedOn w:val="TableNormal"/>
    <w:rsid w:val="0000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 Housing Association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Scott</dc:creator>
  <cp:keywords/>
  <dc:description/>
  <cp:lastModifiedBy>Theo Scott</cp:lastModifiedBy>
  <cp:revision>7</cp:revision>
  <dcterms:created xsi:type="dcterms:W3CDTF">2020-01-13T11:48:00Z</dcterms:created>
  <dcterms:modified xsi:type="dcterms:W3CDTF">2020-01-13T12:32:00Z</dcterms:modified>
</cp:coreProperties>
</file>